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1F10" w:rsidRDefault="001F63C4">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rsidR="00CB1F10" w:rsidRDefault="00CB1F10">
      <w:pPr>
        <w:keepNext/>
        <w:pBdr>
          <w:top w:val="nil"/>
          <w:left w:val="nil"/>
          <w:bottom w:val="nil"/>
          <w:right w:val="nil"/>
          <w:between w:val="nil"/>
        </w:pBdr>
        <w:jc w:val="left"/>
        <w:rPr>
          <w:rFonts w:ascii="Arial" w:eastAsia="Arial" w:hAnsi="Arial"/>
          <w:b/>
          <w:smallCaps/>
          <w:color w:val="000000"/>
          <w:sz w:val="36"/>
          <w:szCs w:val="36"/>
        </w:rPr>
      </w:pPr>
    </w:p>
    <w:p w:rsidR="00CB1F10" w:rsidRDefault="001F63C4" w:rsidP="00445379">
      <w:pPr>
        <w:pBdr>
          <w:top w:val="nil"/>
          <w:left w:val="nil"/>
          <w:bottom w:val="nil"/>
          <w:right w:val="nil"/>
          <w:between w:val="nil"/>
        </w:pBdr>
        <w:tabs>
          <w:tab w:val="left" w:pos="1985"/>
        </w:tabs>
        <w:spacing w:before="120" w:after="120"/>
        <w:ind w:left="-142"/>
        <w:jc w:val="left"/>
        <w:rPr>
          <w:rFonts w:ascii="Arial" w:eastAsia="Arial" w:hAnsi="Arial"/>
          <w:color w:val="000000"/>
          <w:sz w:val="36"/>
          <w:szCs w:val="36"/>
        </w:rPr>
      </w:pPr>
      <w:bookmarkStart w:id="0" w:name="_heading=h.3dy6vkm" w:colFirst="0" w:colLast="0"/>
      <w:bookmarkEnd w:id="0"/>
      <w:r>
        <w:rPr>
          <w:rFonts w:ascii="Arial" w:eastAsia="Arial" w:hAnsi="Arial"/>
          <w:color w:val="000000"/>
          <w:sz w:val="24"/>
          <w:szCs w:val="24"/>
        </w:rPr>
        <w:t>[Guidance: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r>
        <w:rPr>
          <w:rFonts w:ascii="Arial" w:eastAsia="Arial" w:hAnsi="Arial"/>
          <w:color w:val="000000"/>
          <w:sz w:val="36"/>
          <w:szCs w:val="36"/>
        </w:rPr>
        <w:t xml:space="preserve"> </w:t>
      </w:r>
    </w:p>
    <w:p w:rsidR="00CB1F10" w:rsidRDefault="00CB1F10">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Definitions</w:t>
      </w:r>
    </w:p>
    <w:p w:rsidR="00CB1F10" w:rsidRDefault="001F63C4">
      <w:pPr>
        <w:numPr>
          <w:ilvl w:val="1"/>
          <w:numId w:val="4"/>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rsidR="00CB1F10" w:rsidRDefault="00CB1F10">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
        <w:tblW w:w="8656"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704"/>
        <w:gridCol w:w="5952"/>
      </w:tblGrid>
      <w:tr w:rsidR="00CB1F10" w:rsidTr="00445379">
        <w:tc>
          <w:tcPr>
            <w:tcW w:w="2704" w:type="dxa"/>
          </w:tcPr>
          <w:p w:rsidR="00CB1F10" w:rsidRDefault="00445379" w:rsidP="00445379">
            <w:pPr>
              <w:pBdr>
                <w:top w:val="nil"/>
                <w:left w:val="nil"/>
                <w:bottom w:val="nil"/>
                <w:right w:val="nil"/>
                <w:between w:val="nil"/>
              </w:pBdr>
              <w:spacing w:before="120" w:after="120"/>
              <w:ind w:hanging="54"/>
              <w:jc w:val="left"/>
              <w:rPr>
                <w:rFonts w:ascii="Arial" w:eastAsia="Arial" w:hAnsi="Arial"/>
                <w:b/>
                <w:color w:val="000000"/>
                <w:sz w:val="24"/>
                <w:szCs w:val="24"/>
              </w:rPr>
            </w:pPr>
            <w:r>
              <w:rPr>
                <w:rFonts w:ascii="Arial" w:eastAsia="Arial" w:hAnsi="Arial"/>
                <w:b/>
                <w:color w:val="000000"/>
                <w:sz w:val="24"/>
                <w:szCs w:val="24"/>
              </w:rPr>
              <w:t xml:space="preserve">“Applicable Financial </w:t>
            </w:r>
            <w:r w:rsidR="001F63C4">
              <w:rPr>
                <w:rFonts w:ascii="Arial" w:eastAsia="Arial" w:hAnsi="Arial"/>
                <w:b/>
                <w:color w:val="000000"/>
                <w:sz w:val="24"/>
                <w:szCs w:val="24"/>
              </w:rPr>
              <w:t>Indicators”</w:t>
            </w:r>
          </w:p>
        </w:tc>
        <w:tc>
          <w:tcPr>
            <w:tcW w:w="5952" w:type="dxa"/>
          </w:tcPr>
          <w:p w:rsidR="00CB1F10" w:rsidRDefault="001F63C4" w:rsidP="00445379">
            <w:pPr>
              <w:keepNext/>
              <w:pBdr>
                <w:top w:val="nil"/>
                <w:left w:val="nil"/>
                <w:bottom w:val="nil"/>
                <w:right w:val="nil"/>
                <w:between w:val="nil"/>
              </w:pBdr>
              <w:ind w:left="81"/>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“Board”</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“Board Confirmation”</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“Bronze Contract”</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A Call-Off Contract categorised as a Bronze contract using the Cabinet Office Contract Tiering Tool;</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the minimum credit rating level for each entity in the FDE Group as set out in Annex 1 to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“FDE Group”</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 xml:space="preserve">means the </w:t>
            </w:r>
            <w:r w:rsidRPr="00DC350A">
              <w:rPr>
                <w:rFonts w:ascii="Arial" w:eastAsia="Arial" w:hAnsi="Arial"/>
                <w:color w:val="000000"/>
                <w:sz w:val="24"/>
                <w:szCs w:val="24"/>
              </w:rPr>
              <w:t>Supplier</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“Financial Indicators”</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 xml:space="preserve">in respect of the Supplier, Key Sub-contractors and the Guarantor, means each of the financial indicators set out at paragraph 5.1 of this Schedule and in </w:t>
            </w:r>
            <w:r>
              <w:rPr>
                <w:rFonts w:ascii="Arial" w:eastAsia="Arial" w:hAnsi="Arial"/>
                <w:color w:val="000000"/>
                <w:sz w:val="24"/>
                <w:szCs w:val="24"/>
              </w:rPr>
              <w:lastRenderedPageBreak/>
              <w:t>respect of each Monitored Supplier, means those Applicable Financial Indicators;</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lastRenderedPageBreak/>
              <w:t>“Financial Target Thresholds”</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“Monitored Suppliers”</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“Rating Agencies”</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“Strategic Supplier”</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rsidR="00CB1F10" w:rsidRDefault="001F63C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each entity in the FDE Group by each of the Rating Agencies are as set out in Annex 2 to this Schedule;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lastRenderedPageBreak/>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a single report with separate sections for each of the FDE Group entities;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key financial and other supporting information (including any accounts data that has been relied on) as separate annexes;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being a public investigation into improper financial accounting and reporting, suspected fraud or any other impropriety of an FDE Group entity;</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Key Sub-contractor notifying CCS or the Buyer that the Supplier has not satisfied any material sums properly due under a specified invoice and not subject to a genuine dispute;</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w:t>
      </w:r>
      <w:r>
        <w:rPr>
          <w:rFonts w:ascii="Arial" w:eastAsia="Arial" w:hAnsi="Arial"/>
          <w:color w:val="000000"/>
          <w:sz w:val="24"/>
          <w:szCs w:val="24"/>
        </w:rPr>
        <w:lastRenderedPageBreak/>
        <w:t xml:space="preserve">greater than £5m or obligations under a service contract with a total contract value greater than £5m; </w:t>
      </w:r>
    </w:p>
    <w:p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non-payment by an FDE Group entity of any financial indebtedness;</w:t>
      </w:r>
    </w:p>
    <w:p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external auditor of an FDE Group entity expressing a qualified opinion on, or including an emphasis of matter in, its opinion on the statutory accounts of that FDE entity;</w:t>
      </w:r>
    </w:p>
    <w:p w:rsidR="00CB1F10" w:rsidRDefault="001F63C4">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rsidR="00CB1F10" w:rsidRDefault="001F63C4">
      <w:pPr>
        <w:numPr>
          <w:ilvl w:val="2"/>
          <w:numId w:val="4"/>
        </w:numPr>
        <w:pBdr>
          <w:top w:val="nil"/>
          <w:left w:val="nil"/>
          <w:bottom w:val="nil"/>
          <w:right w:val="nil"/>
          <w:between w:val="nil"/>
        </w:pBdr>
        <w:tabs>
          <w:tab w:val="left" w:pos="1985"/>
        </w:tabs>
        <w:spacing w:before="120" w:after="120"/>
        <w:rPr>
          <w:rFonts w:eastAsia="Calibri" w:cs="Calibri"/>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3.1.5, the Relevant Authority shall not exercise any of its rights or remedies under Paragraph 4.3 without first giving the Supplier 10 Working Days to:</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w:t>
      </w:r>
      <w:r>
        <w:rPr>
          <w:rFonts w:ascii="Arial" w:eastAsia="Arial" w:hAnsi="Arial"/>
          <w:color w:val="000000"/>
          <w:sz w:val="24"/>
          <w:szCs w:val="24"/>
        </w:rPr>
        <w:lastRenderedPageBreak/>
        <w:t>Paragraph 4.3.1 that the Financial Distress Event could impact on the continued performance and delivery of the Deliverables in accordance with the Contract:</w:t>
      </w:r>
    </w:p>
    <w:p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lastRenderedPageBreak/>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obtaining in advance written authority from Key Sub-contractors, the Guarantor and/or Monitored Suppliers authorising the disclosure of the information to the Buyer and/or entering into confidentiality agreements which permit disclosure;</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disclosing the information to the fullest extent that it is lawfully entitled to do so, including through the use of redaction, anonymisation and any other techniques to permit disclosure of the information without breaching a duty of confidentiality.</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Financial Indicators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CB1F10">
        <w:tc>
          <w:tcPr>
            <w:tcW w:w="2253" w:type="dxa"/>
            <w:shd w:val="clear" w:color="auto" w:fill="D9D9D9"/>
            <w:vAlign w:val="center"/>
          </w:tcPr>
          <w:p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1977" w:type="dxa"/>
            <w:shd w:val="clear" w:color="auto" w:fill="D9D9D9"/>
            <w:vAlign w:val="center"/>
          </w:tcPr>
          <w:p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shd w:val="clear" w:color="auto" w:fill="D9D9D9"/>
            <w:vAlign w:val="center"/>
          </w:tcPr>
          <w:p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3089" w:type="dxa"/>
            <w:shd w:val="clear" w:color="auto" w:fill="D9D9D9"/>
            <w:vAlign w:val="center"/>
          </w:tcPr>
          <w:p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bookmarkStart w:id="1" w:name="_heading=h.1ci93xb" w:colFirst="0" w:colLast="0"/>
            <w:bookmarkEnd w:id="1"/>
            <w:r>
              <w:rPr>
                <w:rFonts w:ascii="Arial" w:eastAsia="Arial" w:hAnsi="Arial"/>
                <w:b/>
                <w:color w:val="000000"/>
                <w:sz w:val="24"/>
                <w:szCs w:val="24"/>
              </w:rPr>
              <w:t>Monitoring and Reporting Frequency [if different from the default position set out in Paragraph 2.3(b)]</w:t>
            </w:r>
          </w:p>
        </w:tc>
      </w:tr>
      <w:tr w:rsidR="00CB1F10">
        <w:tc>
          <w:tcPr>
            <w:tcW w:w="2253" w:type="dxa"/>
            <w:shd w:val="clear" w:color="auto" w:fill="auto"/>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p w:rsidR="00CB1F10" w:rsidRDefault="00CB1F10">
            <w:pPr>
              <w:pBdr>
                <w:top w:val="nil"/>
                <w:left w:val="nil"/>
                <w:bottom w:val="nil"/>
                <w:right w:val="nil"/>
                <w:between w:val="nil"/>
              </w:pBdr>
              <w:spacing w:before="100" w:after="200"/>
              <w:jc w:val="left"/>
              <w:rPr>
                <w:rFonts w:ascii="Arial" w:eastAsia="Arial" w:hAnsi="Arial"/>
                <w:b/>
                <w:color w:val="000000"/>
                <w:sz w:val="24"/>
                <w:szCs w:val="24"/>
              </w:rPr>
            </w:pPr>
          </w:p>
        </w:tc>
        <w:tc>
          <w:tcPr>
            <w:tcW w:w="1977" w:type="dxa"/>
            <w:shd w:val="clear" w:color="auto" w:fill="auto"/>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Operating Margin = Operating Profit / Revenue</w:t>
            </w:r>
          </w:p>
        </w:tc>
        <w:tc>
          <w:tcPr>
            <w:tcW w:w="1697" w:type="dxa"/>
            <w:shd w:val="clear" w:color="auto" w:fill="auto"/>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 2.5%</w:t>
            </w:r>
          </w:p>
        </w:tc>
        <w:tc>
          <w:tcPr>
            <w:tcW w:w="3089" w:type="dxa"/>
            <w:shd w:val="clear" w:color="auto" w:fill="auto"/>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proofErr w:type="gramStart"/>
            <w:r>
              <w:rPr>
                <w:rFonts w:ascii="Arial" w:eastAsia="Arial" w:hAnsi="Arial"/>
                <w:i/>
                <w:color w:val="000000"/>
                <w:sz w:val="24"/>
                <w:szCs w:val="24"/>
              </w:rPr>
              <w:t>yearly  in</w:t>
            </w:r>
            <w:proofErr w:type="gramEnd"/>
            <w:r>
              <w:rPr>
                <w:rFonts w:ascii="Arial" w:eastAsia="Arial" w:hAnsi="Arial"/>
                <w:i/>
                <w:color w:val="000000"/>
                <w:sz w:val="24"/>
                <w:szCs w:val="24"/>
              </w:rPr>
              <w:t xml:space="preserve"> arrears within 120 days of each accounting reference based upon figures for the 12 months ending on the relevant accounting reference date</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rsidR="00CB1F10" w:rsidRDefault="00CB1F10">
            <w:pPr>
              <w:pBdr>
                <w:top w:val="nil"/>
                <w:left w:val="nil"/>
                <w:bottom w:val="nil"/>
                <w:right w:val="nil"/>
                <w:between w:val="nil"/>
              </w:pBdr>
              <w:spacing w:before="100" w:after="200"/>
              <w:jc w:val="left"/>
              <w:rPr>
                <w:rFonts w:ascii="Arial" w:eastAsia="Arial" w:hAnsi="Arial"/>
                <w:b/>
                <w:color w:val="000000"/>
                <w:sz w:val="24"/>
                <w:szCs w:val="24"/>
              </w:rPr>
            </w:pP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Free Cash Flow to Net Debt Ratio = Free Cash Flow / Net Debt</w:t>
            </w:r>
          </w:p>
          <w:p w:rsidR="00CB1F10" w:rsidRDefault="00CB1F10">
            <w:pPr>
              <w:pBdr>
                <w:top w:val="nil"/>
                <w:left w:val="nil"/>
                <w:bottom w:val="nil"/>
                <w:right w:val="nil"/>
                <w:between w:val="nil"/>
              </w:pBdr>
              <w:spacing w:before="100" w:after="200"/>
              <w:jc w:val="center"/>
              <w:rPr>
                <w:rFonts w:ascii="Arial" w:eastAsia="Arial" w:hAnsi="Arial"/>
                <w:i/>
                <w:color w:val="000000"/>
                <w:sz w:val="24"/>
                <w:szCs w:val="24"/>
              </w:rPr>
            </w:pP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 15%</w:t>
            </w:r>
          </w:p>
          <w:p w:rsidR="00CB1F10" w:rsidRDefault="00CB1F10">
            <w:pPr>
              <w:pBdr>
                <w:top w:val="nil"/>
                <w:left w:val="nil"/>
                <w:bottom w:val="nil"/>
                <w:right w:val="nil"/>
                <w:between w:val="nil"/>
              </w:pBdr>
              <w:spacing w:before="100" w:after="200"/>
              <w:jc w:val="center"/>
              <w:rPr>
                <w:rFonts w:ascii="Arial" w:eastAsia="Arial" w:hAnsi="Arial"/>
                <w:i/>
                <w:color w:val="000000"/>
                <w:sz w:val="24"/>
                <w:szCs w:val="24"/>
              </w:rPr>
            </w:pP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120 days of each accounting reference date based upon Free Cash Flow for the 12 months ending on, and Net Debt at, the relevant accounting reference date </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3</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Debt + Net Pension Deficit to EBITDA Ratio = (Net Debt + Net Pension Deficit) / EBITDA</w:t>
            </w: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2.5 times</w:t>
            </w: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F79646"/>
                <w:sz w:val="24"/>
                <w:szCs w:val="24"/>
              </w:rPr>
              <w:t xml:space="preserve">90 </w:t>
            </w:r>
            <w:r>
              <w:rPr>
                <w:rFonts w:ascii="Arial" w:eastAsia="Arial" w:hAnsi="Arial"/>
                <w:i/>
                <w:color w:val="000000"/>
                <w:sz w:val="24"/>
                <w:szCs w:val="24"/>
              </w:rPr>
              <w:t>days of each accounting reference date based upon EBITDA for the 12 months ending on, and the Net Debt and Net Pension Deficit at, the relevant accounting reference date</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4</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Interest Paid Cover = Earnings Before Interest and Tax / Net Interest Paid</w:t>
            </w: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&gt;4.5 times</w:t>
            </w: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w:t>
            </w:r>
            <w:r>
              <w:rPr>
                <w:rFonts w:ascii="Arial" w:eastAsia="Arial" w:hAnsi="Arial"/>
                <w:i/>
                <w:color w:val="8064A2"/>
                <w:sz w:val="24"/>
                <w:szCs w:val="24"/>
              </w:rPr>
              <w:t xml:space="preserve"> </w:t>
            </w:r>
            <w:r>
              <w:rPr>
                <w:rFonts w:ascii="Arial" w:eastAsia="Arial" w:hAnsi="Arial"/>
                <w:i/>
                <w:color w:val="000000"/>
                <w:sz w:val="24"/>
                <w:szCs w:val="24"/>
              </w:rPr>
              <w:t>in arrears within 120 days of each accounting reference date based upon figures for the 12 months ending on the relevant accounting reference date</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Acid Ratio</w:t>
            </w: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lastRenderedPageBreak/>
              <w:t xml:space="preserve">Acid Ratio = (Current Assets </w:t>
            </w:r>
            <w:r>
              <w:rPr>
                <w:rFonts w:ascii="Arial" w:eastAsia="Arial" w:hAnsi="Arial"/>
                <w:i/>
                <w:color w:val="000000"/>
                <w:sz w:val="24"/>
                <w:szCs w:val="24"/>
              </w:rPr>
              <w:lastRenderedPageBreak/>
              <w:t>– Inventories) / Current Liabilities</w:t>
            </w: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lastRenderedPageBreak/>
              <w:t>&gt; 1times</w:t>
            </w: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8064A2"/>
                <w:sz w:val="24"/>
                <w:szCs w:val="24"/>
              </w:rPr>
              <w:t>120</w:t>
            </w:r>
            <w:r>
              <w:rPr>
                <w:rFonts w:ascii="Arial" w:eastAsia="Arial" w:hAnsi="Arial"/>
                <w:i/>
                <w:color w:val="000000"/>
                <w:sz w:val="24"/>
                <w:szCs w:val="24"/>
              </w:rPr>
              <w:t xml:space="preserve"> days </w:t>
            </w:r>
            <w:r>
              <w:rPr>
                <w:rFonts w:ascii="Arial" w:eastAsia="Arial" w:hAnsi="Arial"/>
                <w:i/>
                <w:color w:val="000000"/>
                <w:sz w:val="24"/>
                <w:szCs w:val="24"/>
              </w:rPr>
              <w:lastRenderedPageBreak/>
              <w:t>of each counting reference date based upon figures at the relevant accounting reference date</w:t>
            </w:r>
            <w:r>
              <w:rPr>
                <w:rFonts w:ascii="Arial" w:eastAsia="Arial" w:hAnsi="Arial"/>
                <w:i/>
                <w:color w:val="8064A2"/>
                <w:sz w:val="24"/>
                <w:szCs w:val="24"/>
              </w:rPr>
              <w:t xml:space="preserve"> </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6</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Asset Value = Net Assets</w:t>
            </w: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 £0</w:t>
            </w: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8064A2"/>
                <w:sz w:val="24"/>
                <w:szCs w:val="24"/>
              </w:rPr>
              <w:t>120</w:t>
            </w:r>
            <w:r>
              <w:rPr>
                <w:rFonts w:ascii="Arial" w:eastAsia="Arial" w:hAnsi="Arial"/>
                <w:i/>
                <w:color w:val="000000"/>
                <w:sz w:val="24"/>
                <w:szCs w:val="24"/>
              </w:rPr>
              <w:t xml:space="preserve"> days of each counting reference date based upon figures at the relevant accounting reference date</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Group Exposure / Gross Assets</w:t>
            </w: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&lt;25%</w:t>
            </w: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figures at the relevant accounting reference date</w:t>
            </w:r>
          </w:p>
        </w:tc>
      </w:tr>
    </w:tbl>
    <w:p w:rsidR="00CB1F10" w:rsidRDefault="001F63C4">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r>
        <w:rPr>
          <w:rFonts w:eastAsia="Calibri" w:cs="Calibri"/>
          <w:color w:val="000000"/>
        </w:rPr>
        <w:t xml:space="preserve"> </w:t>
      </w:r>
    </w:p>
    <w:p w:rsidR="00CB1F10" w:rsidRDefault="00CB1F10">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1"/>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CB1F10">
        <w:tc>
          <w:tcPr>
            <w:tcW w:w="4073" w:type="dxa"/>
            <w:shd w:val="clear" w:color="auto" w:fill="D9D9D9"/>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shd w:val="clear" w:color="auto" w:fill="D9D9D9"/>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bookmarkStart w:id="2" w:name="_heading=h.3whwml4" w:colFirst="0" w:colLast="0"/>
            <w:bookmarkEnd w:id="2"/>
            <w:r>
              <w:rPr>
                <w:rFonts w:ascii="Arial" w:eastAsia="Arial" w:hAnsi="Arial"/>
                <w:color w:val="000000"/>
                <w:sz w:val="24"/>
                <w:szCs w:val="24"/>
              </w:rPr>
              <w:t>(these are the Financial Indicators from the table in Paragraph 5.1 which are to apply to the Monitored Suppliers)</w:t>
            </w:r>
          </w:p>
        </w:tc>
      </w:tr>
      <w:tr w:rsidR="00CB1F10">
        <w:tc>
          <w:tcPr>
            <w:tcW w:w="4073" w:type="dxa"/>
          </w:tcPr>
          <w:p w:rsidR="00CB1F10" w:rsidRPr="00DC350A" w:rsidRDefault="00DC350A">
            <w:pPr>
              <w:pBdr>
                <w:top w:val="nil"/>
                <w:left w:val="nil"/>
                <w:bottom w:val="nil"/>
                <w:right w:val="nil"/>
                <w:between w:val="nil"/>
              </w:pBdr>
              <w:spacing w:before="100" w:after="200"/>
              <w:jc w:val="left"/>
              <w:rPr>
                <w:rFonts w:ascii="Arial" w:eastAsia="Arial" w:hAnsi="Arial"/>
                <w:color w:val="000000"/>
                <w:sz w:val="24"/>
                <w:szCs w:val="24"/>
              </w:rPr>
            </w:pPr>
            <w:r w:rsidRPr="00DC350A">
              <w:rPr>
                <w:rFonts w:ascii="Arial" w:eastAsia="Arial" w:hAnsi="Arial"/>
                <w:color w:val="000000"/>
                <w:sz w:val="24"/>
                <w:szCs w:val="24"/>
              </w:rPr>
              <w:t>Russell Reynolds Associates Ltd</w:t>
            </w:r>
            <w:r w:rsidR="001F63C4" w:rsidRPr="00DC350A">
              <w:rPr>
                <w:rFonts w:ascii="Arial" w:eastAsia="Arial" w:hAnsi="Arial"/>
                <w:color w:val="000000"/>
                <w:sz w:val="24"/>
                <w:szCs w:val="24"/>
              </w:rPr>
              <w:t xml:space="preserve"> </w:t>
            </w:r>
          </w:p>
        </w:tc>
        <w:tc>
          <w:tcPr>
            <w:tcW w:w="4223" w:type="dxa"/>
          </w:tcPr>
          <w:p w:rsidR="00CB1F10" w:rsidRPr="00DC350A" w:rsidRDefault="00DC350A">
            <w:pPr>
              <w:pBdr>
                <w:top w:val="nil"/>
                <w:left w:val="nil"/>
                <w:bottom w:val="nil"/>
                <w:right w:val="nil"/>
                <w:between w:val="nil"/>
              </w:pBdr>
              <w:spacing w:before="100" w:after="200"/>
              <w:jc w:val="left"/>
              <w:rPr>
                <w:rFonts w:ascii="Arial" w:eastAsia="Arial" w:hAnsi="Arial"/>
                <w:color w:val="000000"/>
                <w:sz w:val="24"/>
                <w:szCs w:val="24"/>
              </w:rPr>
            </w:pPr>
            <w:r w:rsidRPr="00DC350A">
              <w:rPr>
                <w:rFonts w:ascii="Arial" w:eastAsia="Arial" w:hAnsi="Arial"/>
                <w:color w:val="000000"/>
                <w:sz w:val="24"/>
                <w:szCs w:val="24"/>
              </w:rPr>
              <w:t>1/2/3/4/5/6/7</w:t>
            </w:r>
          </w:p>
        </w:tc>
      </w:tr>
    </w:tbl>
    <w:p w:rsidR="00CB1F10" w:rsidRDefault="00CB1F10">
      <w:pPr>
        <w:pBdr>
          <w:top w:val="nil"/>
          <w:left w:val="nil"/>
          <w:bottom w:val="nil"/>
          <w:right w:val="nil"/>
          <w:between w:val="nil"/>
        </w:pBdr>
        <w:tabs>
          <w:tab w:val="left" w:pos="1134"/>
        </w:tabs>
        <w:spacing w:before="120" w:after="120"/>
        <w:ind w:left="360" w:hanging="1004"/>
        <w:jc w:val="left"/>
        <w:rPr>
          <w:rFonts w:eastAsia="Calibri" w:cs="Calibri"/>
          <w:color w:val="000000"/>
        </w:rPr>
      </w:pP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2.3.3;</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4.6.3,</w:t>
      </w:r>
    </w:p>
    <w:p w:rsidR="00CB1F10" w:rsidRDefault="001F63C4">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lastRenderedPageBreak/>
        <w:t>which shall be deemed to be an event to which Clause 10.4.1 of the Core Terms applies and Clauses 10.6.1 and 10.6.2 of the Core Terms shall apply accordingly.</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Primacy of Credit Ratings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w:t>
      </w:r>
      <w:r>
        <w:rPr>
          <w:rFonts w:ascii="Arial" w:eastAsia="Arial" w:hAnsi="Arial"/>
          <w:color w:val="000000"/>
          <w:sz w:val="24"/>
          <w:szCs w:val="24"/>
        </w:rPr>
        <w:lastRenderedPageBreak/>
        <w:t>Suppliers Team) setting out full details of any Financial Distress Events that have occurred and/or the matters which could reasonably be expected to cause a Financial Distress Event.</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Optional Clauses</w:t>
      </w:r>
    </w:p>
    <w:p w:rsidR="00CB1F10" w:rsidRDefault="001F63C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Where a Buyer’s Call-Off Contract is a Bronze Contract, if specified in the Order Form, the terms at Annex 5 shall apply to the Call-Off Contract in place of the foregoing terms of this Joint Schedule 7. </w:t>
      </w:r>
    </w:p>
    <w:p w:rsidR="00CB1F10" w:rsidRDefault="00CB1F10">
      <w:pPr>
        <w:pBdr>
          <w:top w:val="nil"/>
          <w:left w:val="nil"/>
          <w:bottom w:val="nil"/>
          <w:right w:val="nil"/>
          <w:between w:val="nil"/>
        </w:pBdr>
        <w:tabs>
          <w:tab w:val="left" w:pos="142"/>
        </w:tabs>
        <w:spacing w:before="120"/>
        <w:ind w:left="360" w:hanging="360"/>
        <w:rPr>
          <w:rFonts w:eastAsia="Calibri" w:cs="Calibri"/>
          <w:b/>
          <w:smallCaps/>
          <w:color w:val="000000"/>
        </w:rPr>
      </w:pPr>
    </w:p>
    <w:p w:rsidR="00CB1F10" w:rsidRDefault="001F63C4">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rsidR="00CB1F10" w:rsidRDefault="001F63C4">
      <w:pPr>
        <w:keepNext/>
        <w:spacing w:before="240"/>
        <w:jc w:val="left"/>
        <w:rPr>
          <w:rFonts w:ascii="Arial" w:eastAsia="Arial" w:hAnsi="Arial"/>
          <w:sz w:val="24"/>
          <w:szCs w:val="24"/>
        </w:rPr>
      </w:pPr>
      <w:r>
        <w:rPr>
          <w:rFonts w:ascii="Arial" w:eastAsia="Arial" w:hAnsi="Arial"/>
          <w:sz w:val="24"/>
          <w:szCs w:val="24"/>
        </w:rPr>
        <w:t>Rating Agency 1 – Dun and Bradstreet</w:t>
      </w:r>
    </w:p>
    <w:p w:rsidR="00CB1F10" w:rsidRDefault="001F63C4">
      <w:pPr>
        <w:spacing w:after="200" w:line="276" w:lineRule="auto"/>
        <w:jc w:val="left"/>
        <w:rPr>
          <w:rFonts w:ascii="Arial" w:eastAsia="Arial" w:hAnsi="Arial"/>
          <w:sz w:val="24"/>
          <w:szCs w:val="24"/>
        </w:rPr>
      </w:pPr>
      <w:r>
        <w:br w:type="page"/>
      </w:r>
    </w:p>
    <w:p w:rsidR="00CB1F10" w:rsidRDefault="001F63C4">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3" w:name="_heading=h.2bn6wsx" w:colFirst="0" w:colLast="0"/>
      <w:bookmarkEnd w:id="3"/>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CB1F10">
        <w:tc>
          <w:tcPr>
            <w:tcW w:w="3080" w:type="dxa"/>
            <w:tcBorders>
              <w:top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CB1F10">
        <w:tc>
          <w:tcPr>
            <w:tcW w:w="3080" w:type="dxa"/>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 - 50]</w:t>
            </w:r>
          </w:p>
        </w:tc>
      </w:tr>
      <w:tr w:rsidR="00CB1F10">
        <w:tc>
          <w:tcPr>
            <w:tcW w:w="3080" w:type="dxa"/>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1" w:type="dxa"/>
            <w:shd w:val="clear" w:color="auto" w:fill="FFFFFF"/>
          </w:tcPr>
          <w:p w:rsidR="00CB1F10" w:rsidRDefault="00CB1F10">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CB1F10">
        <w:tc>
          <w:tcPr>
            <w:tcW w:w="3080" w:type="dxa"/>
            <w:tcBorders>
              <w:bottom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rsidR="00CB1F10" w:rsidRDefault="00CB1F10">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spacing w:after="200" w:line="276" w:lineRule="auto"/>
        <w:jc w:val="left"/>
        <w:rPr>
          <w:rFonts w:ascii="Arial" w:eastAsia="Arial" w:hAnsi="Arial"/>
          <w:sz w:val="24"/>
          <w:szCs w:val="24"/>
        </w:rPr>
      </w:pPr>
      <w:r>
        <w:br w:type="page"/>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Annex 3: Calculation methodology for Financial Indicators</w:t>
      </w:r>
    </w:p>
    <w:p w:rsidR="00CB1F10" w:rsidRDefault="001F63C4">
      <w:pPr>
        <w:pBdr>
          <w:top w:val="nil"/>
          <w:left w:val="nil"/>
          <w:bottom w:val="nil"/>
          <w:right w:val="nil"/>
          <w:between w:val="nil"/>
        </w:pBdr>
        <w:spacing w:before="100" w:after="200"/>
        <w:jc w:val="left"/>
        <w:rPr>
          <w:rFonts w:ascii="Arial" w:eastAsia="Arial" w:hAnsi="Arial"/>
          <w:b/>
          <w:i/>
          <w:color w:val="000000"/>
          <w:sz w:val="24"/>
          <w:szCs w:val="24"/>
        </w:rPr>
      </w:pPr>
      <w:bookmarkStart w:id="4" w:name="_heading=h.qsh70q" w:colFirst="0" w:colLast="0"/>
      <w:bookmarkEnd w:id="4"/>
      <w:r>
        <w:rPr>
          <w:rFonts w:ascii="Arial" w:eastAsia="Arial" w:hAnsi="Arial"/>
          <w:b/>
          <w:i/>
          <w:color w:val="000000"/>
          <w:sz w:val="24"/>
          <w:szCs w:val="24"/>
          <w:highlight w:val="yellow"/>
        </w:rPr>
        <w:t>[Guidance: Amend this section as appropriate to reflect the calculation methodology for those Financial Indicators that are selected for inclusion in Paragraph 5.1 of this Schedule]</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bookmarkStart w:id="5" w:name="_heading=h.3as4poj" w:colFirst="0" w:colLast="0"/>
      <w:bookmarkEnd w:id="5"/>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rsidR="00CB1F10" w:rsidRDefault="001F63C4">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CB1F10">
        <w:tc>
          <w:tcPr>
            <w:tcW w:w="2538" w:type="dxa"/>
            <w:shd w:val="clear" w:color="auto" w:fill="D9D9D9"/>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ventures or Associates.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CB1F10">
        <w:tc>
          <w:tcPr>
            <w:tcW w:w="2538" w:type="dxa"/>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6478" w:type="dxa"/>
          </w:tcPr>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Free Cash Flow</w:t>
            </w:r>
            <w:r>
              <w:rPr>
                <w:rFonts w:ascii="Arial" w:eastAsia="Arial" w:hAnsi="Arial"/>
                <w:i/>
                <w:color w:val="000000"/>
                <w:sz w:val="24"/>
                <w:szCs w:val="24"/>
              </w:rPr>
              <w:t>” = Net Cash Flow from Operating Activities – Capital Expenditure</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Capital Expenditure</w:t>
            </w:r>
            <w:r>
              <w:rPr>
                <w:rFonts w:ascii="Arial" w:eastAsia="Arial" w:hAnsi="Arial"/>
                <w:i/>
                <w:color w:val="000000"/>
                <w:sz w:val="24"/>
                <w:szCs w:val="24"/>
              </w:rPr>
              <w:t>” = Purchase of property, plant &amp; equipment + purchase of intangible assets</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Free Cash Flow to Net Debt Ratio should be shown on the face of the Statement of Cash Flows and the Balance Sheet in a standard set of financial statements.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Cash Flow from Operating Activities</w:t>
            </w:r>
            <w:r>
              <w:rPr>
                <w:rFonts w:ascii="Arial" w:eastAsia="Arial" w:hAnsi="Arial"/>
                <w:color w:val="000000"/>
                <w:sz w:val="24"/>
                <w:szCs w:val="24"/>
              </w:rPr>
              <w:t>: This should be stated after deduction of interest and tax paid.</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Capital expenditure</w:t>
            </w:r>
            <w:r>
              <w:rPr>
                <w:rFonts w:ascii="Arial" w:eastAsia="Arial" w:hAnsi="Arial"/>
                <w:color w:val="000000"/>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w:t>
            </w:r>
            <w:proofErr w:type="gramStart"/>
            <w:r>
              <w:rPr>
                <w:rFonts w:ascii="Arial" w:eastAsia="Arial" w:hAnsi="Arial"/>
                <w:color w:val="000000"/>
                <w:sz w:val="24"/>
                <w:szCs w:val="24"/>
              </w:rPr>
              <w:t>respect  of</w:t>
            </w:r>
            <w:proofErr w:type="gramEnd"/>
            <w:r>
              <w:rPr>
                <w:rFonts w:ascii="Arial" w:eastAsia="Arial" w:hAnsi="Arial"/>
                <w:color w:val="000000"/>
                <w:sz w:val="24"/>
                <w:szCs w:val="24"/>
              </w:rPr>
              <w:t xml:space="preserve"> any hedges designated as linked to borrowings (but not non-designated hedges). Borrowings should also include balances owed to other group members.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Financial Target Threshold should be treated as having been met.]</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to EBITDA Ratio should be shown on the face of the </w:t>
            </w:r>
            <w:r>
              <w:rPr>
                <w:rFonts w:ascii="Arial" w:eastAsia="Arial" w:hAnsi="Arial"/>
                <w:color w:val="000000"/>
                <w:sz w:val="24"/>
                <w:szCs w:val="24"/>
              </w:rPr>
              <w:lastRenderedPageBreak/>
              <w:t>Balance sheet, Income statement and Statement of Cash Flows in a standard set of financial statements but will otherwise be found in the notes to the financial statements.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is negative (i.e. an entity has net cash), the relevant Financial Target Threshold should be treated as having been met. </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bookmarkStart w:id="6" w:name="_heading=h.1pxezwc" w:colFirst="0" w:colLast="0"/>
            <w:bookmarkEnd w:id="6"/>
            <w:r>
              <w:rPr>
                <w:rFonts w:ascii="Arial" w:eastAsia="Arial" w:hAnsi="Arial"/>
                <w:i/>
                <w:color w:val="000000"/>
                <w:sz w:val="24"/>
                <w:szCs w:val="24"/>
                <w:u w:val="single"/>
              </w:rPr>
              <w:t>EBITDA</w:t>
            </w:r>
            <w:r>
              <w:rPr>
                <w:rFonts w:ascii="Arial" w:eastAsia="Arial" w:hAnsi="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CB1F10">
        <w:tc>
          <w:tcPr>
            <w:tcW w:w="2538" w:type="dxa"/>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 xml:space="preserve">[Net Debt + </w:t>
            </w:r>
            <w:proofErr w:type="gramStart"/>
            <w:r>
              <w:rPr>
                <w:rFonts w:ascii="Arial" w:eastAsia="Arial" w:hAnsi="Arial"/>
                <w:b/>
                <w:color w:val="000000"/>
                <w:sz w:val="24"/>
                <w:szCs w:val="24"/>
              </w:rPr>
              <w:t>Net  Pension</w:t>
            </w:r>
            <w:proofErr w:type="gramEnd"/>
            <w:r>
              <w:rPr>
                <w:rFonts w:ascii="Arial" w:eastAsia="Arial" w:hAnsi="Arial"/>
                <w:b/>
                <w:color w:val="000000"/>
                <w:sz w:val="24"/>
                <w:szCs w:val="24"/>
              </w:rPr>
              <w:t xml:space="preserve"> Deficit to EBITDA ratio]</w:t>
            </w:r>
          </w:p>
        </w:tc>
        <w:tc>
          <w:tcPr>
            <w:tcW w:w="6478" w:type="dxa"/>
          </w:tcPr>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Assets</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 Net Pension Deficit to EBITDA Ratio should be shown on the face of the Balance sheet, Income statement and Statement of Cash Flows in a standard set of financial </w:t>
            </w:r>
            <w:r>
              <w:rPr>
                <w:rFonts w:ascii="Arial" w:eastAsia="Arial" w:hAnsi="Arial"/>
                <w:color w:val="000000"/>
                <w:sz w:val="24"/>
                <w:szCs w:val="24"/>
              </w:rPr>
              <w:lastRenderedPageBreak/>
              <w:t>statements but will otherwise be found in the notes to the financial statements.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 Net Pension Deficit’ is negative, the relevant Financial Target Threshold should be treated as having been met.</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bookmarkStart w:id="7" w:name="_heading=h.49x2ik5" w:colFirst="0" w:colLast="0"/>
            <w:bookmarkEnd w:id="7"/>
            <w:r>
              <w:rPr>
                <w:rFonts w:ascii="Arial" w:eastAsia="Arial" w:hAnsi="Arial"/>
                <w:color w:val="000000"/>
                <w:sz w:val="24"/>
                <w:szCs w:val="24"/>
              </w:rPr>
              <w:t xml:space="preserve">The depreciation and amortisation charges for the period may be found on the face of the Statement of Cash Flows or in a Note to the Accounts. </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Operating profit should be shown on the face of the Income Statement in a standard set of financial statements and, for the purposes of calculating this Financial Indicator, </w:t>
            </w:r>
            <w:r>
              <w:rPr>
                <w:rFonts w:ascii="Arial" w:eastAsia="Arial" w:hAnsi="Arial"/>
                <w:color w:val="000000"/>
                <w:sz w:val="24"/>
                <w:szCs w:val="24"/>
              </w:rPr>
              <w:lastRenderedPageBreak/>
              <w:t>should include the entity’s share of the results of any joint ventures or Associates.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6478"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6478" w:type="dxa"/>
          </w:tcPr>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Group Exposure</w:t>
            </w:r>
            <w:r>
              <w:rPr>
                <w:rFonts w:ascii="Arial" w:eastAsia="Arial" w:hAnsi="Arial"/>
                <w:i/>
                <w:color w:val="000000"/>
                <w:sz w:val="24"/>
                <w:szCs w:val="24"/>
              </w:rPr>
              <w:t>” = Balances owed by Group Undertakings + Contingent liabilities assumed in support of Group Undertakings</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Gross Assets</w:t>
            </w:r>
            <w:r>
              <w:rPr>
                <w:rFonts w:ascii="Arial" w:eastAsia="Arial" w:hAnsi="Arial"/>
                <w:i/>
                <w:color w:val="000000"/>
                <w:sz w:val="24"/>
                <w:szCs w:val="24"/>
              </w:rPr>
              <w:t>” = Fixed Assets + Current Assets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Group Exposure</w:t>
            </w:r>
            <w:r>
              <w:rPr>
                <w:rFonts w:ascii="Arial" w:eastAsia="Arial" w:hAnsi="Arial"/>
                <w:color w:val="000000"/>
                <w:sz w:val="24"/>
                <w:szCs w:val="24"/>
              </w:rPr>
              <w:t>:  Balances owed by (</w:t>
            </w:r>
            <w:proofErr w:type="spellStart"/>
            <w:r>
              <w:rPr>
                <w:rFonts w:ascii="Arial" w:eastAsia="Arial" w:hAnsi="Arial"/>
                <w:color w:val="000000"/>
                <w:sz w:val="24"/>
                <w:szCs w:val="24"/>
              </w:rPr>
              <w:t>ie</w:t>
            </w:r>
            <w:proofErr w:type="spellEnd"/>
            <w:r>
              <w:rPr>
                <w:rFonts w:ascii="Arial" w:eastAsia="Arial" w:hAnsi="Arial"/>
                <w:color w:val="000000"/>
                <w:sz w:val="24"/>
                <w:szCs w:val="24"/>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In many cases an entity may not have assumed any contingent liabilities in support of Group Undertakings, in particular where an entity is not a member of a group or is itself the ultimate holding company of the group.</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Gross Assets</w:t>
            </w:r>
            <w:r>
              <w:rPr>
                <w:rFonts w:ascii="Arial" w:eastAsia="Arial" w:hAnsi="Arial"/>
                <w:color w:val="000000"/>
                <w:sz w:val="24"/>
                <w:szCs w:val="24"/>
              </w:rPr>
              <w:t>: Both Fixed assets and Current assets are shown on the face of the Balance Sheet]</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8</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Insert additional Financial Indicators as necessary</w:t>
            </w:r>
          </w:p>
        </w:tc>
        <w:tc>
          <w:tcPr>
            <w:tcW w:w="6478" w:type="dxa"/>
          </w:tcPr>
          <w:p w:rsidR="00CB1F10" w:rsidRDefault="001F63C4">
            <w:pPr>
              <w:pBdr>
                <w:top w:val="nil"/>
                <w:left w:val="nil"/>
                <w:bottom w:val="nil"/>
                <w:right w:val="nil"/>
                <w:between w:val="nil"/>
              </w:pBdr>
              <w:spacing w:before="100" w:after="200"/>
              <w:jc w:val="left"/>
              <w:rPr>
                <w:rFonts w:ascii="Arial" w:eastAsia="Arial" w:hAnsi="Arial"/>
                <w:i/>
                <w:color w:val="000000"/>
                <w:sz w:val="24"/>
                <w:szCs w:val="24"/>
                <w:u w:val="single"/>
              </w:rPr>
            </w:pPr>
            <w:r>
              <w:rPr>
                <w:rFonts w:ascii="Arial" w:eastAsia="Arial" w:hAnsi="Arial"/>
                <w:i/>
                <w:color w:val="000000"/>
                <w:sz w:val="24"/>
                <w:szCs w:val="24"/>
                <w:u w:val="single"/>
              </w:rPr>
              <w:t>[Etc..]</w:t>
            </w:r>
          </w:p>
        </w:tc>
      </w:tr>
    </w:tbl>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spacing w:after="200" w:line="276" w:lineRule="auto"/>
        <w:jc w:val="left"/>
        <w:rPr>
          <w:rFonts w:ascii="Arial" w:eastAsia="Arial" w:hAnsi="Arial"/>
          <w:sz w:val="24"/>
          <w:szCs w:val="24"/>
        </w:rPr>
      </w:pPr>
      <w:r>
        <w:br w:type="page"/>
      </w:r>
    </w:p>
    <w:p w:rsidR="00CB1F10" w:rsidRDefault="001F63C4">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8" w:name="_heading=h.2p2csry" w:colFirst="0" w:colLast="0"/>
      <w:bookmarkEnd w:id="8"/>
      <w:r>
        <w:rPr>
          <w:rFonts w:ascii="Arial Bold" w:eastAsia="Arial Bold" w:hAnsi="Arial Bold" w:cs="Arial Bold"/>
          <w:b/>
          <w:smallCaps/>
          <w:color w:val="000000"/>
          <w:sz w:val="24"/>
          <w:szCs w:val="24"/>
        </w:rPr>
        <w:lastRenderedPageBreak/>
        <w:t>Annex 4: Board Confirmation</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ind w:left="720"/>
        <w:jc w:val="left"/>
        <w:rPr>
          <w:rFonts w:ascii="Arial" w:eastAsia="Arial" w:hAnsi="Arial"/>
          <w:color w:val="000000"/>
          <w:sz w:val="24"/>
          <w:szCs w:val="24"/>
        </w:rPr>
      </w:pPr>
      <w:bookmarkStart w:id="9" w:name="_heading=h.147n2zr" w:colFirst="0" w:colLast="0"/>
      <w:bookmarkEnd w:id="9"/>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rsidR="00CB1F10" w:rsidRDefault="001F63C4">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rsidR="00CB1F10" w:rsidRDefault="001F63C4">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rsidR="00CB1F10" w:rsidRDefault="001F63C4">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spacing w:after="200" w:line="276" w:lineRule="auto"/>
        <w:jc w:val="left"/>
        <w:rPr>
          <w:rFonts w:ascii="Arial" w:eastAsia="Arial" w:hAnsi="Arial"/>
          <w:sz w:val="36"/>
          <w:szCs w:val="36"/>
        </w:rPr>
      </w:pPr>
      <w:r>
        <w:br w:type="page"/>
      </w:r>
    </w:p>
    <w:p w:rsidR="00CB1F10" w:rsidRDefault="00CB1F10">
      <w:pPr>
        <w:spacing w:after="200" w:line="276" w:lineRule="auto"/>
        <w:jc w:val="left"/>
        <w:rPr>
          <w:rFonts w:ascii="Arial" w:eastAsia="Arial" w:hAnsi="Arial"/>
          <w:sz w:val="36"/>
          <w:szCs w:val="36"/>
        </w:rPr>
      </w:pPr>
    </w:p>
    <w:p w:rsidR="00CB1F10" w:rsidRDefault="001F63C4">
      <w:pPr>
        <w:spacing w:after="200" w:line="276" w:lineRule="auto"/>
        <w:jc w:val="left"/>
        <w:rPr>
          <w:rFonts w:ascii="Arial" w:eastAsia="Arial" w:hAnsi="Arial"/>
          <w:b/>
          <w:smallCaps/>
          <w:sz w:val="36"/>
          <w:szCs w:val="36"/>
        </w:rPr>
      </w:pPr>
      <w:r>
        <w:rPr>
          <w:rFonts w:ascii="Arial" w:eastAsia="Arial" w:hAnsi="Arial"/>
          <w:b/>
          <w:smallCaps/>
          <w:sz w:val="36"/>
          <w:szCs w:val="36"/>
        </w:rPr>
        <w:t>ANNEX 5: OPTIONAL CLAUSES FOR BRONZE CONTRACTS</w:t>
      </w:r>
    </w:p>
    <w:p w:rsidR="00CB1F10" w:rsidRDefault="001F63C4">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Annex 5, the following words shall have the following meanings and they shall supplement Joint Schedule 1 (Definitions):</w:t>
      </w:r>
    </w:p>
    <w:tbl>
      <w:tblPr>
        <w:tblStyle w:val="a4"/>
        <w:tblW w:w="7560" w:type="dxa"/>
        <w:tblInd w:w="1008" w:type="dxa"/>
        <w:tblLayout w:type="fixed"/>
        <w:tblLook w:val="0000" w:firstRow="0" w:lastRow="0" w:firstColumn="0" w:lastColumn="0" w:noHBand="0" w:noVBand="0"/>
      </w:tblPr>
      <w:tblGrid>
        <w:gridCol w:w="2462"/>
        <w:gridCol w:w="5098"/>
      </w:tblGrid>
      <w:tr w:rsidR="00CB1F10">
        <w:tc>
          <w:tcPr>
            <w:tcW w:w="2462" w:type="dxa"/>
          </w:tcPr>
          <w:p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"Credit Rating Threshold"</w:t>
            </w:r>
          </w:p>
        </w:tc>
        <w:tc>
          <w:tcPr>
            <w:tcW w:w="5098" w:type="dxa"/>
          </w:tcPr>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Appendix 2;</w:t>
            </w:r>
          </w:p>
        </w:tc>
      </w:tr>
      <w:tr w:rsidR="00CB1F10">
        <w:tc>
          <w:tcPr>
            <w:tcW w:w="2462" w:type="dxa"/>
          </w:tcPr>
          <w:p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"Financial Distress Event"</w:t>
            </w:r>
          </w:p>
        </w:tc>
        <w:tc>
          <w:tcPr>
            <w:tcW w:w="5098" w:type="dxa"/>
          </w:tcPr>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non-payment by the Monitored Company of any financial indebtedness;</w:t>
            </w:r>
          </w:p>
          <w:p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CB1F10">
        <w:tc>
          <w:tcPr>
            <w:tcW w:w="2462" w:type="dxa"/>
          </w:tcPr>
          <w:p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lastRenderedPageBreak/>
              <w:t>"Financial Distress Service Continuity Plan"</w:t>
            </w:r>
          </w:p>
        </w:tc>
        <w:tc>
          <w:tcPr>
            <w:tcW w:w="5098" w:type="dxa"/>
          </w:tcPr>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CB1F10">
        <w:tc>
          <w:tcPr>
            <w:tcW w:w="2462" w:type="dxa"/>
          </w:tcPr>
          <w:p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“Monitored Company”</w:t>
            </w:r>
          </w:p>
        </w:tc>
        <w:tc>
          <w:tcPr>
            <w:tcW w:w="5098" w:type="dxa"/>
          </w:tcPr>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 Guarantor] or any Key Subcontractor]</w:t>
            </w:r>
          </w:p>
        </w:tc>
      </w:tr>
      <w:tr w:rsidR="00CB1F10">
        <w:tc>
          <w:tcPr>
            <w:tcW w:w="2462" w:type="dxa"/>
          </w:tcPr>
          <w:p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"Rating Agencies"</w:t>
            </w:r>
          </w:p>
        </w:tc>
        <w:tc>
          <w:tcPr>
            <w:tcW w:w="5098" w:type="dxa"/>
          </w:tcPr>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Appendix 1.</w:t>
            </w:r>
          </w:p>
        </w:tc>
      </w:tr>
    </w:tbl>
    <w:p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bookmarkStart w:id="10" w:name="_heading=h.3o7alnk" w:colFirst="0" w:colLast="0"/>
      <w:bookmarkEnd w:id="10"/>
      <w:r>
        <w:rPr>
          <w:rFonts w:ascii="Arial Bold" w:eastAsia="Arial Bold" w:hAnsi="Arial Bold" w:cs="Arial Bold"/>
          <w:b/>
          <w:color w:val="000000"/>
          <w:sz w:val="24"/>
          <w:szCs w:val="24"/>
        </w:rPr>
        <w:t>When this Schedule applies</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Annex 5 in relation to the assessment of the financial standing of the Monitored Companies and the consequences of a change to that financial standing.</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Annex 5 shall survive: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3ckvvd" w:colFirst="0" w:colLast="0"/>
      <w:bookmarkEnd w:id="11"/>
      <w:r>
        <w:rPr>
          <w:rFonts w:ascii="Arial" w:eastAsia="Arial" w:hAnsi="Arial"/>
          <w:color w:val="000000"/>
          <w:sz w:val="24"/>
          <w:szCs w:val="24"/>
        </w:rPr>
        <w:t xml:space="preserve">The Supplier warrants and represents to the Relevant Authority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Appendix 2. </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Relevant Authority in writing if there is any downgrade in the credit rating issued by any Rating Agency for a Monitored Company.</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ihv636" w:colFirst="0" w:colLast="0"/>
      <w:bookmarkEnd w:id="12"/>
      <w:r>
        <w:rPr>
          <w:rFonts w:ascii="Arial" w:eastAsia="Arial" w:hAnsi="Arial"/>
          <w:color w:val="000000"/>
          <w:sz w:val="24"/>
          <w:szCs w:val="24"/>
        </w:rPr>
        <w:lastRenderedPageBreak/>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shall: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2hioqz" w:colFirst="0" w:colLast="0"/>
      <w:bookmarkEnd w:id="13"/>
      <w:r>
        <w:rPr>
          <w:rFonts w:ascii="Arial" w:eastAsia="Arial" w:hAnsi="Arial"/>
          <w:color w:val="000000"/>
          <w:sz w:val="24"/>
          <w:szCs w:val="24"/>
        </w:rPr>
        <w:t xml:space="preserve">promptly notify (or shall procure that its auditors promptly notify) the Relevant Authority in writing following the occurrence of a Financial Distress Event or any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ensure that such notification is made within 10 Working Days of the date on which the Supplier first becomes aware of the Financial Distress Event or the fact, circumstance or matter which could cause a Financial Distress Event.</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r>
        <w:rPr>
          <w:rFonts w:ascii="Arial Bold" w:eastAsia="Arial Bold" w:hAnsi="Arial Bold" w:cs="Arial Bold"/>
          <w:b/>
          <w:color w:val="000000"/>
          <w:sz w:val="24"/>
          <w:szCs w:val="24"/>
        </w:rPr>
        <w:t>What happens if there is a financial distress event</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4" w:name="_heading=h.1hmsyys" w:colFirst="0" w:colLast="0"/>
      <w:bookmarkEnd w:id="14"/>
      <w:r>
        <w:rPr>
          <w:rFonts w:ascii="Arial" w:eastAsia="Arial" w:hAnsi="Arial"/>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5" w:name="_heading=h.41mghml" w:colFirst="0" w:colLast="0"/>
      <w:bookmarkEnd w:id="15"/>
      <w:r>
        <w:rPr>
          <w:rFonts w:ascii="Arial" w:eastAsia="Arial" w:hAnsi="Arial"/>
          <w:color w:val="000000"/>
          <w:sz w:val="24"/>
          <w:szCs w:val="24"/>
        </w:rPr>
        <w:t>The Supplier shall and shall procure that the other Monitored Companies shall:</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2grqrue" w:colFirst="0" w:colLast="0"/>
      <w:bookmarkEnd w:id="16"/>
      <w:r>
        <w:rPr>
          <w:rFonts w:ascii="Arial" w:eastAsia="Arial" w:hAnsi="Arial"/>
          <w:color w:val="000000"/>
          <w:sz w:val="24"/>
          <w:szCs w:val="24"/>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w:t>
      </w:r>
      <w:r>
        <w:rPr>
          <w:rFonts w:ascii="Arial" w:eastAsia="Arial" w:hAnsi="Arial"/>
          <w:color w:val="000000"/>
          <w:sz w:val="24"/>
          <w:szCs w:val="24"/>
        </w:rPr>
        <w:lastRenderedPageBreak/>
        <w:t>performance of each Contract and delivery of the Deliverables in accordance each Call-Off Contract; and</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7" w:name="_heading=h.vx1227" w:colFirst="0" w:colLast="0"/>
      <w:bookmarkEnd w:id="17"/>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 the continued performance of each Contract and delivery of the Deliverables in accordance with each Call-Off Contract: </w:t>
      </w:r>
    </w:p>
    <w:p w:rsidR="00CB1F10" w:rsidRDefault="001F63C4">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rsidR="00CB1F10" w:rsidRDefault="001F63C4">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8" w:name="_heading=h.3fwokq0" w:colFirst="0" w:colLast="0"/>
      <w:bookmarkEnd w:id="18"/>
      <w:r>
        <w:rPr>
          <w:rFonts w:ascii="Arial" w:eastAsia="Arial" w:hAnsi="Arial"/>
          <w:color w:val="000000"/>
          <w:sz w:val="24"/>
          <w:szCs w:val="24"/>
        </w:rPr>
        <w:t>provide such financial information relating to the Monitored Company as the Relevant Authority may reasonably require.</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9" w:name="_heading=h.1v1yuxt" w:colFirst="0" w:colLast="0"/>
      <w:bookmarkEnd w:id="19"/>
      <w:r>
        <w:rPr>
          <w:rFonts w:ascii="Arial" w:eastAsia="Arial" w:hAnsi="Arial"/>
          <w:color w:val="000000"/>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0" w:name="_heading=h.4f1mdlm" w:colFirst="0" w:colLast="0"/>
      <w:bookmarkEnd w:id="20"/>
      <w:r>
        <w:rPr>
          <w:rFonts w:ascii="Arial" w:eastAsia="Arial" w:hAnsi="Arial"/>
          <w:color w:val="000000"/>
          <w:sz w:val="24"/>
          <w:szCs w:val="24"/>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1" w:name="_heading=h.2u6wntf" w:colFirst="0" w:colLast="0"/>
      <w:bookmarkEnd w:id="21"/>
      <w:r>
        <w:rPr>
          <w:rFonts w:ascii="Arial" w:eastAsia="Arial" w:hAnsi="Arial"/>
          <w:color w:val="000000"/>
          <w:sz w:val="24"/>
          <w:szCs w:val="24"/>
        </w:rPr>
        <w:t>Following Approval of the Financial Distress Service Continuity Plan by the Relevant Authority, the Supplier shall:</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2" w:name="_heading=h.19c6y18" w:colFirst="0" w:colLast="0"/>
      <w:bookmarkEnd w:id="22"/>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3" w:name="_heading=h.3tbugp1" w:colFirst="0" w:colLast="0"/>
      <w:bookmarkEnd w:id="23"/>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4" w:name="_heading=h.28h4qwu" w:colFirst="0" w:colLast="0"/>
      <w:bookmarkEnd w:id="24"/>
      <w:r>
        <w:rPr>
          <w:rFonts w:ascii="Arial" w:eastAsia="Arial" w:hAnsi="Arial"/>
          <w:color w:val="000000"/>
          <w:sz w:val="24"/>
          <w:szCs w:val="24"/>
        </w:rPr>
        <w:lastRenderedPageBreak/>
        <w:t>comply with the Financial Distress Service Continuity Plan (including any updated Financial Distress Service Continuity Plan).</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5" w:name="_heading=h.nmf14n" w:colFirst="0" w:colLast="0"/>
      <w:bookmarkEnd w:id="25"/>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6" w:name="_heading=h.37m2jsg" w:colFirst="0" w:colLast="0"/>
      <w:bookmarkEnd w:id="26"/>
      <w:r>
        <w:rPr>
          <w:rFonts w:ascii="Arial" w:eastAsia="Arial" w:hAnsi="Arial"/>
          <w:color w:val="000000"/>
          <w:sz w:val="24"/>
          <w:szCs w:val="24"/>
        </w:rPr>
        <w:t xml:space="preserve">CCS shall be entitled to terminate this Contract and Buyers shall be entitled to terminate their Call-Off Contracts for material Default if: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the Relevant Authority of a Financial Distress Event in accordance with Paragraph 3.4;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Relevant Authority and the Supplier fail to agree a Financial Distress Service Continuity Plan (or any updated Financial Distress Service Continuity Plan) in accordance with Paragraphs 4.3 to 4.5; and/or</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bookmarkStart w:id="27" w:name="_heading=h.1mrcu09" w:colFirst="0" w:colLast="0"/>
      <w:bookmarkEnd w:id="27"/>
      <w:r>
        <w:rPr>
          <w:rFonts w:ascii="Arial Bold" w:eastAsia="Arial Bold" w:hAnsi="Arial Bold" w:cs="Arial Bold"/>
          <w:b/>
          <w:color w:val="000000"/>
          <w:sz w:val="24"/>
          <w:szCs w:val="24"/>
        </w:rPr>
        <w:t>What happens If your credit rating is still good</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Relevant Authority shall not be entitled to require the Supplier to provide financial information in accordance with Paragraph 4.3.2(b). </w:t>
      </w:r>
    </w:p>
    <w:p w:rsidR="00CB1F10" w:rsidRDefault="00CB1F10"/>
    <w:p w:rsidR="00CB1F10" w:rsidRDefault="00CB1F10">
      <w:pPr>
        <w:pBdr>
          <w:top w:val="nil"/>
          <w:left w:val="nil"/>
          <w:bottom w:val="nil"/>
          <w:right w:val="nil"/>
          <w:between w:val="nil"/>
        </w:pBdr>
        <w:spacing w:after="0"/>
        <w:jc w:val="left"/>
        <w:rPr>
          <w:rFonts w:ascii="Arial" w:eastAsia="Arial" w:hAnsi="Arial"/>
          <w:color w:val="FFFFFF"/>
          <w:sz w:val="24"/>
          <w:szCs w:val="24"/>
        </w:rPr>
      </w:pPr>
      <w:bookmarkStart w:id="28" w:name="_heading=h.4i7ojhp" w:colFirst="0" w:colLast="0"/>
      <w:bookmarkEnd w:id="28"/>
    </w:p>
    <w:p w:rsidR="00CB1F10" w:rsidRDefault="001F63C4">
      <w:pPr>
        <w:keepNext/>
        <w:pBdr>
          <w:top w:val="nil"/>
          <w:left w:val="nil"/>
          <w:bottom w:val="nil"/>
          <w:right w:val="nil"/>
          <w:between w:val="nil"/>
        </w:pBdr>
        <w:ind w:firstLine="426"/>
        <w:jc w:val="left"/>
        <w:rPr>
          <w:rFonts w:ascii="Arial" w:eastAsia="Arial" w:hAnsi="Arial"/>
          <w:b/>
          <w:smallCaps/>
          <w:color w:val="000000"/>
          <w:sz w:val="24"/>
          <w:szCs w:val="24"/>
        </w:rPr>
      </w:pPr>
      <w:bookmarkStart w:id="29" w:name="_heading=h.46r0co2" w:colFirst="0" w:colLast="0"/>
      <w:bookmarkEnd w:id="29"/>
      <w:r>
        <w:br w:type="page"/>
      </w:r>
    </w:p>
    <w:p w:rsidR="00CB1F10" w:rsidRDefault="001F63C4">
      <w:pPr>
        <w:keepNext/>
        <w:pBdr>
          <w:top w:val="nil"/>
          <w:left w:val="nil"/>
          <w:bottom w:val="nil"/>
          <w:right w:val="nil"/>
          <w:between w:val="nil"/>
        </w:pBdr>
        <w:ind w:firstLine="426"/>
        <w:jc w:val="left"/>
        <w:rPr>
          <w:rFonts w:ascii="Arial" w:eastAsia="Arial" w:hAnsi="Arial"/>
          <w:smallCaps/>
          <w:color w:val="000000"/>
          <w:sz w:val="36"/>
          <w:szCs w:val="36"/>
        </w:rPr>
      </w:pPr>
      <w:bookmarkStart w:id="30" w:name="_heading=h.2lwamvv" w:colFirst="0" w:colLast="0"/>
      <w:bookmarkEnd w:id="30"/>
      <w:r>
        <w:rPr>
          <w:rFonts w:ascii="Arial" w:eastAsia="Arial" w:hAnsi="Arial"/>
          <w:b/>
          <w:smallCaps/>
          <w:color w:val="000000"/>
          <w:sz w:val="36"/>
          <w:szCs w:val="36"/>
        </w:rPr>
        <w:lastRenderedPageBreak/>
        <w:t>Appendix 1: RATING AGENCIES</w:t>
      </w:r>
    </w:p>
    <w:p w:rsidR="00CB1F10" w:rsidRDefault="001F63C4">
      <w:pPr>
        <w:keepNext/>
        <w:spacing w:before="240"/>
        <w:jc w:val="left"/>
        <w:rPr>
          <w:rFonts w:ascii="Arial" w:eastAsia="Arial" w:hAnsi="Arial"/>
          <w:sz w:val="24"/>
          <w:szCs w:val="24"/>
        </w:rPr>
      </w:pPr>
      <w:r>
        <w:rPr>
          <w:rFonts w:ascii="Arial" w:eastAsia="Arial" w:hAnsi="Arial"/>
          <w:sz w:val="24"/>
          <w:szCs w:val="24"/>
        </w:rPr>
        <w:t>Rating Agency 1 – Dun and Bradstreet</w:t>
      </w:r>
    </w:p>
    <w:p w:rsidR="00CB1F10" w:rsidRDefault="001F63C4">
      <w:pPr>
        <w:keepNext/>
        <w:pBdr>
          <w:top w:val="nil"/>
          <w:left w:val="nil"/>
          <w:bottom w:val="nil"/>
          <w:right w:val="nil"/>
          <w:between w:val="nil"/>
        </w:pBdr>
        <w:ind w:firstLine="426"/>
        <w:jc w:val="left"/>
        <w:rPr>
          <w:rFonts w:ascii="Arial" w:eastAsia="Arial" w:hAnsi="Arial"/>
          <w:smallCaps/>
          <w:color w:val="000000"/>
          <w:sz w:val="24"/>
          <w:szCs w:val="24"/>
        </w:rPr>
      </w:pPr>
      <w:bookmarkStart w:id="31" w:name="_heading=h.111kx3o" w:colFirst="0" w:colLast="0"/>
      <w:bookmarkEnd w:id="31"/>
      <w:r>
        <w:br w:type="page"/>
      </w:r>
      <w:r>
        <w:rPr>
          <w:rFonts w:ascii="Arial" w:eastAsia="Arial" w:hAnsi="Arial"/>
          <w:b/>
          <w:smallCaps/>
          <w:color w:val="000000"/>
          <w:sz w:val="36"/>
          <w:szCs w:val="36"/>
        </w:rPr>
        <w:lastRenderedPageBreak/>
        <w:t>Appendix 2: CREDIT RATINGS &amp; CREDIT RATING THRESHOLDS</w:t>
      </w:r>
    </w:p>
    <w:p w:rsidR="00CB1F10" w:rsidRDefault="001F63C4">
      <w:pPr>
        <w:keepNext/>
        <w:pBdr>
          <w:top w:val="nil"/>
          <w:left w:val="nil"/>
          <w:bottom w:val="nil"/>
          <w:right w:val="nil"/>
          <w:between w:val="nil"/>
        </w:pBdr>
        <w:ind w:firstLine="426"/>
        <w:jc w:val="left"/>
        <w:rPr>
          <w:rFonts w:ascii="Arial" w:eastAsia="Arial" w:hAnsi="Arial"/>
          <w:smallCaps/>
          <w:color w:val="000000"/>
          <w:sz w:val="24"/>
          <w:szCs w:val="24"/>
        </w:rPr>
      </w:pPr>
      <w:r>
        <w:rPr>
          <w:rFonts w:ascii="Arial" w:eastAsia="Arial" w:hAnsi="Arial"/>
          <w:b/>
          <w:color w:val="000000"/>
          <w:sz w:val="24"/>
          <w:szCs w:val="24"/>
        </w:rPr>
        <w:t>Part 1: Current Rating</w:t>
      </w:r>
    </w:p>
    <w:tbl>
      <w:tblPr>
        <w:tblStyle w:val="a5"/>
        <w:tblW w:w="616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7"/>
      </w:tblGrid>
      <w:tr w:rsidR="00CB1F10">
        <w:trPr>
          <w:gridAfter w:val="1"/>
          <w:wAfter w:w="7" w:type="dxa"/>
        </w:trPr>
        <w:tc>
          <w:tcPr>
            <w:tcW w:w="3080" w:type="dxa"/>
            <w:tcBorders>
              <w:top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ED3D09">
        <w:tc>
          <w:tcPr>
            <w:tcW w:w="3080" w:type="dxa"/>
            <w:shd w:val="clear" w:color="auto" w:fill="FFFFFF"/>
          </w:tcPr>
          <w:p w:rsidR="00ED3D09" w:rsidRDefault="00ED3D09" w:rsidP="00ED3D09">
            <w:bookmarkStart w:id="32" w:name="_GoBack" w:colFirst="0" w:colLast="1"/>
            <w:r w:rsidRPr="003814D6">
              <w:rPr>
                <w:rFonts w:ascii="Arial" w:eastAsia="Arial" w:hAnsi="Arial"/>
                <w:b/>
                <w:sz w:val="24"/>
                <w:szCs w:val="24"/>
                <w:highlight w:val="yellow"/>
              </w:rPr>
              <w:t>REDACTED</w:t>
            </w:r>
            <w:r w:rsidRPr="003814D6">
              <w:rPr>
                <w:rFonts w:ascii="Arial" w:eastAsia="Arial" w:hAnsi="Arial"/>
                <w:b/>
                <w:sz w:val="24"/>
                <w:szCs w:val="24"/>
              </w:rPr>
              <w:t xml:space="preserve"> </w:t>
            </w:r>
          </w:p>
        </w:tc>
        <w:tc>
          <w:tcPr>
            <w:tcW w:w="3088" w:type="dxa"/>
            <w:gridSpan w:val="2"/>
            <w:shd w:val="clear" w:color="auto" w:fill="FFFFFF"/>
          </w:tcPr>
          <w:p w:rsidR="00ED3D09" w:rsidRDefault="00ED3D09" w:rsidP="00ED3D09">
            <w:r w:rsidRPr="003814D6">
              <w:rPr>
                <w:rFonts w:ascii="Arial" w:eastAsia="Arial" w:hAnsi="Arial"/>
                <w:b/>
                <w:sz w:val="24"/>
                <w:szCs w:val="24"/>
                <w:highlight w:val="yellow"/>
              </w:rPr>
              <w:t>REDACTED</w:t>
            </w:r>
            <w:r w:rsidRPr="003814D6">
              <w:rPr>
                <w:rFonts w:ascii="Arial" w:eastAsia="Arial" w:hAnsi="Arial"/>
                <w:b/>
                <w:sz w:val="24"/>
                <w:szCs w:val="24"/>
              </w:rPr>
              <w:t xml:space="preserve"> </w:t>
            </w:r>
          </w:p>
        </w:tc>
      </w:tr>
      <w:tr w:rsidR="00ED3D09">
        <w:tc>
          <w:tcPr>
            <w:tcW w:w="3080" w:type="dxa"/>
            <w:shd w:val="clear" w:color="auto" w:fill="FFFFFF"/>
          </w:tcPr>
          <w:p w:rsidR="00ED3D09" w:rsidRDefault="00ED3D09" w:rsidP="00ED3D09">
            <w:r w:rsidRPr="003814D6">
              <w:rPr>
                <w:rFonts w:ascii="Arial" w:eastAsia="Arial" w:hAnsi="Arial"/>
                <w:b/>
                <w:sz w:val="24"/>
                <w:szCs w:val="24"/>
                <w:highlight w:val="yellow"/>
              </w:rPr>
              <w:t>REDACTED</w:t>
            </w:r>
            <w:r w:rsidRPr="003814D6">
              <w:rPr>
                <w:rFonts w:ascii="Arial" w:eastAsia="Arial" w:hAnsi="Arial"/>
                <w:b/>
                <w:sz w:val="24"/>
                <w:szCs w:val="24"/>
              </w:rPr>
              <w:t xml:space="preserve"> </w:t>
            </w:r>
          </w:p>
        </w:tc>
        <w:tc>
          <w:tcPr>
            <w:tcW w:w="3088" w:type="dxa"/>
            <w:gridSpan w:val="2"/>
            <w:shd w:val="clear" w:color="auto" w:fill="FFFFFF"/>
          </w:tcPr>
          <w:p w:rsidR="00ED3D09" w:rsidRDefault="00ED3D09" w:rsidP="00ED3D09">
            <w:r w:rsidRPr="003814D6">
              <w:rPr>
                <w:rFonts w:ascii="Arial" w:eastAsia="Arial" w:hAnsi="Arial"/>
                <w:b/>
                <w:sz w:val="24"/>
                <w:szCs w:val="24"/>
                <w:highlight w:val="yellow"/>
              </w:rPr>
              <w:t>REDACTED</w:t>
            </w:r>
            <w:r w:rsidRPr="003814D6">
              <w:rPr>
                <w:rFonts w:ascii="Arial" w:eastAsia="Arial" w:hAnsi="Arial"/>
                <w:b/>
                <w:sz w:val="24"/>
                <w:szCs w:val="24"/>
              </w:rPr>
              <w:t xml:space="preserve"> </w:t>
            </w:r>
          </w:p>
        </w:tc>
      </w:tr>
      <w:tr w:rsidR="00ED3D09">
        <w:trPr>
          <w:gridAfter w:val="1"/>
          <w:wAfter w:w="7" w:type="dxa"/>
        </w:trPr>
        <w:tc>
          <w:tcPr>
            <w:tcW w:w="3080" w:type="dxa"/>
            <w:tcBorders>
              <w:bottom w:val="single" w:sz="4" w:space="0" w:color="000000"/>
            </w:tcBorders>
            <w:shd w:val="clear" w:color="auto" w:fill="FFFFFF"/>
          </w:tcPr>
          <w:p w:rsidR="00ED3D09" w:rsidRDefault="00ED3D09" w:rsidP="00ED3D09">
            <w:r w:rsidRPr="003814D6">
              <w:rPr>
                <w:rFonts w:ascii="Arial" w:eastAsia="Arial" w:hAnsi="Arial"/>
                <w:b/>
                <w:sz w:val="24"/>
                <w:szCs w:val="24"/>
                <w:highlight w:val="yellow"/>
              </w:rPr>
              <w:t>REDACTED</w:t>
            </w:r>
            <w:r w:rsidRPr="003814D6">
              <w:rPr>
                <w:rFonts w:ascii="Arial" w:eastAsia="Arial" w:hAnsi="Arial"/>
                <w:b/>
                <w:sz w:val="24"/>
                <w:szCs w:val="24"/>
              </w:rPr>
              <w:t xml:space="preserve"> </w:t>
            </w:r>
          </w:p>
        </w:tc>
        <w:tc>
          <w:tcPr>
            <w:tcW w:w="3081" w:type="dxa"/>
            <w:tcBorders>
              <w:bottom w:val="single" w:sz="4" w:space="0" w:color="000000"/>
            </w:tcBorders>
            <w:shd w:val="clear" w:color="auto" w:fill="FFFFFF"/>
          </w:tcPr>
          <w:p w:rsidR="00ED3D09" w:rsidRDefault="00ED3D09" w:rsidP="00ED3D09">
            <w:r w:rsidRPr="003814D6">
              <w:rPr>
                <w:rFonts w:ascii="Arial" w:eastAsia="Arial" w:hAnsi="Arial"/>
                <w:b/>
                <w:sz w:val="24"/>
                <w:szCs w:val="24"/>
                <w:highlight w:val="yellow"/>
              </w:rPr>
              <w:t>REDACTED</w:t>
            </w:r>
            <w:r w:rsidRPr="003814D6">
              <w:rPr>
                <w:rFonts w:ascii="Arial" w:eastAsia="Arial" w:hAnsi="Arial"/>
                <w:b/>
                <w:sz w:val="24"/>
                <w:szCs w:val="24"/>
              </w:rPr>
              <w:t xml:space="preserve"> </w:t>
            </w:r>
          </w:p>
        </w:tc>
      </w:tr>
      <w:bookmarkEnd w:id="32"/>
    </w:tbl>
    <w:p w:rsidR="00CB1F10" w:rsidRDefault="00CB1F10">
      <w:pPr>
        <w:spacing w:after="0"/>
        <w:rPr>
          <w:rFonts w:ascii="Arial" w:eastAsia="Arial" w:hAnsi="Arial"/>
          <w:sz w:val="24"/>
          <w:szCs w:val="24"/>
        </w:rPr>
      </w:pPr>
    </w:p>
    <w:p w:rsidR="00CB1F10" w:rsidRDefault="00CB1F10">
      <w:pPr>
        <w:spacing w:after="200" w:line="276" w:lineRule="auto"/>
        <w:jc w:val="left"/>
        <w:rPr>
          <w:rFonts w:ascii="Arial" w:eastAsia="Arial" w:hAnsi="Arial"/>
          <w:sz w:val="24"/>
          <w:szCs w:val="24"/>
        </w:rPr>
      </w:pPr>
    </w:p>
    <w:sectPr w:rsidR="00CB1F1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35C0" w:rsidRDefault="008135C0">
      <w:pPr>
        <w:spacing w:after="0"/>
      </w:pPr>
      <w:r>
        <w:separator/>
      </w:r>
    </w:p>
  </w:endnote>
  <w:endnote w:type="continuationSeparator" w:id="0">
    <w:p w:rsidR="008135C0" w:rsidRDefault="008135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F10" w:rsidRDefault="00CB1F10">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F10" w:rsidRDefault="001F63C4">
    <w:pPr>
      <w:tabs>
        <w:tab w:val="center" w:pos="4513"/>
        <w:tab w:val="right" w:pos="9026"/>
      </w:tabs>
      <w:spacing w:after="0"/>
      <w:rPr>
        <w:rFonts w:ascii="Arial" w:eastAsia="Arial" w:hAnsi="Arial"/>
        <w:sz w:val="20"/>
        <w:szCs w:val="20"/>
      </w:rPr>
    </w:pPr>
    <w:r>
      <w:rPr>
        <w:rFonts w:ascii="Arial" w:eastAsia="Arial" w:hAnsi="Arial"/>
        <w:sz w:val="20"/>
        <w:szCs w:val="20"/>
      </w:rPr>
      <w:t>Framework Ref: RM6290</w:t>
    </w:r>
    <w:r>
      <w:rPr>
        <w:rFonts w:ascii="Arial" w:eastAsia="Arial" w:hAnsi="Arial"/>
        <w:sz w:val="20"/>
        <w:szCs w:val="20"/>
      </w:rPr>
      <w:tab/>
      <w:t xml:space="preserve">                                           </w:t>
    </w:r>
  </w:p>
  <w:p w:rsidR="00CB1F10" w:rsidRDefault="001F63C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445379">
      <w:rPr>
        <w:rFonts w:ascii="Arial" w:eastAsia="Arial" w:hAnsi="Arial"/>
        <w:noProof/>
        <w:color w:val="000000"/>
        <w:sz w:val="20"/>
        <w:szCs w:val="20"/>
      </w:rPr>
      <w:t>1</w:t>
    </w:r>
    <w:r>
      <w:rPr>
        <w:rFonts w:ascii="Arial" w:eastAsia="Arial" w:hAnsi="Arial"/>
        <w:color w:val="000000"/>
        <w:sz w:val="20"/>
        <w:szCs w:val="20"/>
      </w:rPr>
      <w:fldChar w:fldCharType="end"/>
    </w:r>
  </w:p>
  <w:p w:rsidR="00CB1F10" w:rsidRDefault="001F63C4">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F10" w:rsidRDefault="001F63C4">
    <w:pPr>
      <w:tabs>
        <w:tab w:val="center" w:pos="4513"/>
        <w:tab w:val="right" w:pos="9026"/>
      </w:tabs>
      <w:spacing w:after="0"/>
      <w:rPr>
        <w:color w:val="BFBFBF"/>
      </w:rPr>
    </w:pPr>
    <w:r>
      <w:rPr>
        <w:color w:val="BFBFBF"/>
      </w:rPr>
      <w:t>Framework Ref: RM</w:t>
    </w:r>
    <w:r>
      <w:rPr>
        <w:color w:val="BFBFBF"/>
      </w:rPr>
      <w:tab/>
      <w:t xml:space="preserve">                                           </w:t>
    </w:r>
  </w:p>
  <w:p w:rsidR="00CB1F10" w:rsidRDefault="001F63C4">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CB1F10" w:rsidRDefault="001F63C4">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35C0" w:rsidRDefault="008135C0">
      <w:pPr>
        <w:spacing w:after="0"/>
      </w:pPr>
      <w:r>
        <w:separator/>
      </w:r>
    </w:p>
  </w:footnote>
  <w:footnote w:type="continuationSeparator" w:id="0">
    <w:p w:rsidR="008135C0" w:rsidRDefault="008135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F10" w:rsidRDefault="00CB1F10">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F10" w:rsidRDefault="001F63C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CB1F10" w:rsidRDefault="001F63C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F10" w:rsidRDefault="00CB1F10">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66DC1"/>
    <w:multiLevelType w:val="multilevel"/>
    <w:tmpl w:val="A3F438FA"/>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29572AEB"/>
    <w:multiLevelType w:val="multilevel"/>
    <w:tmpl w:val="484CD91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84050BE"/>
    <w:multiLevelType w:val="multilevel"/>
    <w:tmpl w:val="9460A058"/>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D5970E6"/>
    <w:multiLevelType w:val="multilevel"/>
    <w:tmpl w:val="09FA22AE"/>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F5902BC"/>
    <w:multiLevelType w:val="multilevel"/>
    <w:tmpl w:val="491C48B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 w:numId="3">
    <w:abstractNumId w:val="4"/>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F10"/>
    <w:rsid w:val="001F63C4"/>
    <w:rsid w:val="00445379"/>
    <w:rsid w:val="008135C0"/>
    <w:rsid w:val="008E2842"/>
    <w:rsid w:val="00CB1F10"/>
    <w:rsid w:val="00DC350A"/>
    <w:rsid w:val="00ED3D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BC8D1E-ADC6-4254-98BC-2043BAE09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rsid w:val="00E12774"/>
    <w:pPr>
      <w:keepNext/>
      <w:keepLines/>
      <w:spacing w:before="480" w:after="120"/>
      <w:outlineLvl w:val="0"/>
    </w:pPr>
    <w:rPr>
      <w:b/>
      <w:sz w:val="48"/>
      <w:szCs w:val="48"/>
    </w:rPr>
  </w:style>
  <w:style w:type="paragraph" w:styleId="Heading2">
    <w:name w:val="heading 2"/>
    <w:basedOn w:val="Normal"/>
    <w:next w:val="Normal"/>
    <w:link w:val="Heading2Char"/>
    <w:rsid w:val="00E12774"/>
    <w:pPr>
      <w:keepNext/>
      <w:keepLines/>
      <w:spacing w:before="360" w:after="80"/>
      <w:outlineLvl w:val="1"/>
    </w:pPr>
    <w:rPr>
      <w:b/>
      <w:sz w:val="36"/>
      <w:szCs w:val="36"/>
    </w:rPr>
  </w:style>
  <w:style w:type="paragraph" w:styleId="Heading3">
    <w:name w:val="heading 3"/>
    <w:basedOn w:val="Normal"/>
    <w:next w:val="Normal"/>
    <w:link w:val="Heading3Char"/>
    <w:rsid w:val="00E12774"/>
    <w:pPr>
      <w:keepNext/>
      <w:keepLines/>
      <w:spacing w:before="280" w:after="80"/>
      <w:outlineLvl w:val="2"/>
    </w:pPr>
    <w:rPr>
      <w:b/>
      <w:sz w:val="28"/>
      <w:szCs w:val="28"/>
    </w:rPr>
  </w:style>
  <w:style w:type="paragraph" w:styleId="Heading4">
    <w:name w:val="heading 4"/>
    <w:basedOn w:val="Normal"/>
    <w:next w:val="Normal"/>
    <w:link w:val="Heading4Char"/>
    <w:rsid w:val="00E12774"/>
    <w:pPr>
      <w:keepNext/>
      <w:keepLines/>
      <w:spacing w:before="240" w:after="40"/>
      <w:outlineLvl w:val="3"/>
    </w:pPr>
    <w:rPr>
      <w:b/>
      <w:sz w:val="24"/>
      <w:szCs w:val="24"/>
    </w:rPr>
  </w:style>
  <w:style w:type="paragraph" w:styleId="Heading5">
    <w:name w:val="heading 5"/>
    <w:basedOn w:val="Normal"/>
    <w:next w:val="Normal"/>
    <w:link w:val="Heading5Char"/>
    <w:rsid w:val="00E12774"/>
    <w:pPr>
      <w:keepNext/>
      <w:keepLines/>
      <w:spacing w:before="220" w:after="40"/>
      <w:outlineLvl w:val="4"/>
    </w:pPr>
    <w:rPr>
      <w:b/>
    </w:rPr>
  </w:style>
  <w:style w:type="paragraph" w:styleId="Heading6">
    <w:name w:val="heading 6"/>
    <w:basedOn w:val="Normal"/>
    <w:next w:val="Normal"/>
    <w:link w:val="Heading6Char"/>
    <w:rsid w:val="00E12774"/>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E12774"/>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E12774"/>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E12774"/>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E12774"/>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E12774"/>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E12774"/>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E12774"/>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EopnTAag+oIb9IcdhLLG8zfypA==">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6564</Words>
  <Characters>37420</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Liam O'Shaughnessy</dc:creator>
  <cp:lastModifiedBy>Nicola Shannon</cp:lastModifiedBy>
  <cp:revision>4</cp:revision>
  <dcterms:created xsi:type="dcterms:W3CDTF">2022-02-15T12:03:00Z</dcterms:created>
  <dcterms:modified xsi:type="dcterms:W3CDTF">2023-10-16T10:24:00Z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